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26866" w14:textId="1F5C71FF" w:rsidR="00F87AC4" w:rsidRDefault="00F87AC4" w:rsidP="006934AB">
      <w:pPr>
        <w:spacing w:line="36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F87AC4">
        <w:rPr>
          <w:rFonts w:ascii="Calibri" w:hAnsi="Calibri" w:cs="Calibri"/>
          <w:b/>
          <w:bCs/>
          <w:sz w:val="28"/>
          <w:szCs w:val="28"/>
        </w:rPr>
        <w:t>Streszczenie rozprawy doktorskiej</w:t>
      </w:r>
    </w:p>
    <w:p w14:paraId="4FF09C19" w14:textId="4F3C81D1" w:rsidR="00F87AC4" w:rsidRDefault="00DB2164" w:rsidP="00DB2164">
      <w:pPr>
        <w:spacing w:line="36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„</w:t>
      </w:r>
      <w:r w:rsidR="00F87AC4" w:rsidRPr="00F87AC4">
        <w:rPr>
          <w:rFonts w:ascii="Calibri" w:hAnsi="Calibri" w:cs="Calibri"/>
          <w:b/>
          <w:bCs/>
          <w:sz w:val="28"/>
          <w:szCs w:val="28"/>
        </w:rPr>
        <w:t>SKUTECZNOŚĆ PROCESU KOMERCJALIZACJI WIEDZY – PERSPEKTYWA UCZELNI TECHNICZNYCH</w:t>
      </w:r>
      <w:r>
        <w:rPr>
          <w:rFonts w:ascii="Calibri" w:hAnsi="Calibri" w:cs="Calibri"/>
          <w:b/>
          <w:bCs/>
          <w:sz w:val="28"/>
          <w:szCs w:val="28"/>
        </w:rPr>
        <w:t>”</w:t>
      </w:r>
    </w:p>
    <w:p w14:paraId="485D4727" w14:textId="49D3F616" w:rsidR="0008025C" w:rsidRDefault="0008025C" w:rsidP="0008025C">
      <w:pPr>
        <w:spacing w:after="0" w:line="360" w:lineRule="auto"/>
        <w:ind w:firstLine="709"/>
        <w:jc w:val="both"/>
        <w:rPr>
          <w:rFonts w:ascii="Calibri" w:hAnsi="Calibri" w:cs="Calibri"/>
        </w:rPr>
      </w:pPr>
      <w:r w:rsidRPr="0008025C">
        <w:rPr>
          <w:rFonts w:ascii="Calibri" w:hAnsi="Calibri" w:cs="Calibri"/>
        </w:rPr>
        <w:t>Współczesne uczelnie coraz częściej postrzegane są nie tylko jako instytucje prowadzące działalność naukową i dydaktyczną, lecz także jako aktywni uczestnicy procesów społeczno-gospodarczych odpowiedzialni za transfer i komercjalizację wiedzy. W warunkach gospodarki opartej na wiedzy oraz rosnących oczekiwań wobec nauki dotyczących jej użyteczności społecznej i gospodarczej, skuteczna komercjalizacja wyników badań naukowych staje się jednym z kluczowych wyzwań stojących przed szkołami wyższymi. Szczególne znaczenie problem ten ma w przypadku uczelni technicznych, których działalność badawcza prowadzi do powstawania rozwiązań technologicznych, wynalazków oraz innowacji o wysokim potencjale wdrożeniowym.</w:t>
      </w:r>
      <w:r>
        <w:rPr>
          <w:rFonts w:ascii="Calibri" w:hAnsi="Calibri" w:cs="Calibri"/>
        </w:rPr>
        <w:t xml:space="preserve"> Mimo licznych badań nad komercjalizacją wiedzy, </w:t>
      </w:r>
      <w:r w:rsidRPr="0008025C">
        <w:rPr>
          <w:rFonts w:ascii="Calibri" w:hAnsi="Calibri" w:cs="Calibri"/>
        </w:rPr>
        <w:t>prowadzonych zarówno w Polsce, jak i za granicą</w:t>
      </w:r>
      <w:r>
        <w:rPr>
          <w:rFonts w:ascii="Calibri" w:hAnsi="Calibri" w:cs="Calibri"/>
        </w:rPr>
        <w:t>,</w:t>
      </w:r>
      <w:r w:rsidRPr="0008025C">
        <w:rPr>
          <w:rFonts w:ascii="Calibri" w:hAnsi="Calibri" w:cs="Calibri"/>
        </w:rPr>
        <w:t xml:space="preserve"> nadal obserwuje się niedostatek ujęć wskazujących, w jaki sposób uczelnie mogą skutecznie organizować i realizować proces komercjalizacji wiedzy w zmieniających się warunkach prawnych, ekonomicznych</w:t>
      </w:r>
      <w:r>
        <w:rPr>
          <w:rFonts w:ascii="Calibri" w:hAnsi="Calibri" w:cs="Calibri"/>
        </w:rPr>
        <w:t>, społecznych</w:t>
      </w:r>
      <w:r w:rsidRPr="0008025C">
        <w:rPr>
          <w:rFonts w:ascii="Calibri" w:hAnsi="Calibri" w:cs="Calibri"/>
        </w:rPr>
        <w:t xml:space="preserve"> i organizacyjnych. Zidentyfikowana luka </w:t>
      </w:r>
      <w:r>
        <w:rPr>
          <w:rFonts w:ascii="Calibri" w:hAnsi="Calibri" w:cs="Calibri"/>
        </w:rPr>
        <w:t>poznawcza</w:t>
      </w:r>
      <w:r w:rsidRPr="0008025C">
        <w:rPr>
          <w:rFonts w:ascii="Calibri" w:hAnsi="Calibri" w:cs="Calibri"/>
        </w:rPr>
        <w:t xml:space="preserve"> stanowi</w:t>
      </w:r>
      <w:r>
        <w:rPr>
          <w:rFonts w:ascii="Calibri" w:hAnsi="Calibri" w:cs="Calibri"/>
        </w:rPr>
        <w:t>ła</w:t>
      </w:r>
      <w:r w:rsidRPr="0008025C">
        <w:rPr>
          <w:rFonts w:ascii="Calibri" w:hAnsi="Calibri" w:cs="Calibri"/>
        </w:rPr>
        <w:t xml:space="preserve"> podstawę podjęcia badań przedstawionych w niniejszej rozprawie. Ich celem </w:t>
      </w:r>
      <w:r>
        <w:rPr>
          <w:rFonts w:ascii="Calibri" w:hAnsi="Calibri" w:cs="Calibri"/>
        </w:rPr>
        <w:t>było</w:t>
      </w:r>
      <w:r w:rsidRPr="0008025C">
        <w:rPr>
          <w:rFonts w:ascii="Calibri" w:hAnsi="Calibri" w:cs="Calibri"/>
        </w:rPr>
        <w:t xml:space="preserve"> opracowanie modelu komercjalizacji wiedzy w uczelni technicznej uwzględniającego przebieg procesu komercjalizacji, jego uczestników oraz czynniki determinujące jego skuteczność. </w:t>
      </w:r>
    </w:p>
    <w:p w14:paraId="37702BFF" w14:textId="77777777" w:rsidR="00E26F95" w:rsidRDefault="00E26F95" w:rsidP="007E40D6">
      <w:pPr>
        <w:spacing w:after="0" w:line="360" w:lineRule="auto"/>
        <w:ind w:firstLine="709"/>
        <w:jc w:val="both"/>
        <w:rPr>
          <w:rFonts w:ascii="Calibri" w:hAnsi="Calibri" w:cs="Calibri"/>
        </w:rPr>
      </w:pPr>
      <w:r w:rsidRPr="00E26F95">
        <w:rPr>
          <w:rFonts w:ascii="Calibri" w:hAnsi="Calibri" w:cs="Calibri"/>
        </w:rPr>
        <w:t xml:space="preserve">Realizacji celu pracy podporządkowano wieloetapowy proces badawczy obejmujący zarówno badania teoretyczne, jak i empiryczne. W pierwszej kolejności przeprowadzono studia literaturowe dotyczące problematyki komercjalizacji i transferu wiedzy z uczelni do biznesu, a następnie dokonano analizy dokumentów, której celem było zidentyfikowanie i porównanie dostępnych publicznie informacji dotyczących oferty i zakresu działań związanych z komercjalizacją wiedzy na uczelniach technicznych w Polsce. Kolejny etap stanowiła analiza materiału empirycznego pochodzącego z badań eksperckich przeprowadzonych w zagranicznych uczelniach, w tym jednostkach wspierających transfer wiedzy. Analizie poddano transkrypcje wywiadów z przedstawicielami uczelni europejskich, północnoamerykańskich, australijskich i azjatyckich w celu identyfikacji najlepszych praktyk w zakresie organizacji i realizacji procesów komercjalizacji wiedzy. Ostatni etap badań stanowiły badania ankietowe </w:t>
      </w:r>
      <w:r w:rsidRPr="00E26F95">
        <w:rPr>
          <w:rFonts w:ascii="Calibri" w:hAnsi="Calibri" w:cs="Calibri"/>
        </w:rPr>
        <w:lastRenderedPageBreak/>
        <w:t>przeprowadzone w polskich uczelniach technicznych, których celem było rozpoznanie stosowanych form komercjalizacji, identyfikacja uczestników procesu oraz określenie czynników wpływających na skuteczność działań komercjalizacyjnych.</w:t>
      </w:r>
    </w:p>
    <w:p w14:paraId="30A697C4" w14:textId="77777777" w:rsidR="00E26F95" w:rsidRDefault="00E26F95" w:rsidP="007E40D6">
      <w:pPr>
        <w:spacing w:after="0" w:line="360" w:lineRule="auto"/>
        <w:ind w:firstLine="709"/>
        <w:jc w:val="both"/>
        <w:rPr>
          <w:rFonts w:ascii="Calibri" w:eastAsia="Calibri" w:hAnsi="Calibri" w:cs="Calibri"/>
        </w:rPr>
      </w:pPr>
      <w:r w:rsidRPr="00E26F95">
        <w:rPr>
          <w:rFonts w:ascii="Calibri" w:eastAsia="Calibri" w:hAnsi="Calibri" w:cs="Calibri"/>
        </w:rPr>
        <w:t>Wyniki badań wskazują, że skuteczność komercjalizacji wiedzy w uczelni technicznej wymaga podejścia systemowego, łączącego wzmacnianie bodźców rynkowych i ekonomicznych, rozwój wsparcia organizacyjnego oraz ograniczanie zróżnicowanych barier, przy jednoczesnym uwzględnieniu specyfiki uczelni oraz roli uczestników tego procesu. Efektem przeprowadzonych badań jest autorski model komercjalizacji wiedzy w uczelni technicznej, stanowiący rozwinięcie dotychczasowych ujęć teoretycznych poprzez ich integrację oraz uwzględnienie kluczowych czynników decydujących o skuteczności działań komercjalizacyjnych. Model ten ma charakter wielowarstwowy i dynamiczny, a logika działań etapowych przenika się z relacyjnym charakterem współpracy pomiędzy uczestnikami oraz z czynnikami determinującymi jego skuteczność. Wartość poznawcza rozprawy wynika z integracji tych elementów w ramach spójnego ujęcia komercjalizacji wiedzy w uczelni technicznej.</w:t>
      </w:r>
    </w:p>
    <w:p w14:paraId="5FBAB762" w14:textId="416BE15C" w:rsidR="007E40D6" w:rsidRPr="007E40D6" w:rsidRDefault="00E26F95" w:rsidP="00E26F95">
      <w:pPr>
        <w:spacing w:after="0" w:line="360" w:lineRule="auto"/>
        <w:ind w:firstLine="709"/>
        <w:jc w:val="both"/>
        <w:rPr>
          <w:rFonts w:ascii="Calibri" w:eastAsia="Calibri" w:hAnsi="Calibri" w:cs="Calibri"/>
        </w:rPr>
      </w:pPr>
      <w:r w:rsidRPr="00E26F95">
        <w:rPr>
          <w:rFonts w:ascii="Calibri" w:eastAsia="Calibri" w:hAnsi="Calibri" w:cs="Calibri"/>
        </w:rPr>
        <w:t>Praca ma charakter teoretyczno-empiryczny i składa się z pięciu rozdziałów. W rozdziale pierwszym przedstawiono istotę komercjalizacji wiedzy, jej modele, formy oraz dotychczasowy dorobek naukowy w tym obszarze. Rozdział drugi poświęcono uwarunkowaniom procesu komercjalizacji, obejmującym aspekty prawne, organizacyjne, ekonomiczne oraz społeczne, a także czynnikom sukcesu i barierom utrudniającym transfer wiedzy do gospodarki. W rozdziale trzecim zaprezentowano metodykę badań oraz scharakteryzowano specyfikę uczelni technicznych i zakres realizowanej przez nie działalności komercjalizacyjnej. Rozdział czwarty zawiera wyniki badań eksperckich dotyczących najlepszych praktyk stosowanych przez uczelnie zagraniczne. W rozdziale piątym przedstawiono wyniki badań ankietowych przeprowadzonych w polskich uczelniach technicznych oraz zaprezentowano autorski model komercjalizacji wiedzy opracowany na podstawie przeprowadzonych badań. W zakończeniu zawarto najważniejsze wnioski płynące z badań, ograniczenia badawcze oraz dalsze kierunki eksploracji naukowej.</w:t>
      </w:r>
    </w:p>
    <w:sectPr w:rsidR="007E40D6" w:rsidRPr="007E40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62D"/>
    <w:rsid w:val="00032CBA"/>
    <w:rsid w:val="00041770"/>
    <w:rsid w:val="000446C8"/>
    <w:rsid w:val="0008025C"/>
    <w:rsid w:val="000952C5"/>
    <w:rsid w:val="0012441A"/>
    <w:rsid w:val="00126C36"/>
    <w:rsid w:val="0015191A"/>
    <w:rsid w:val="00176EFF"/>
    <w:rsid w:val="00192167"/>
    <w:rsid w:val="0028072A"/>
    <w:rsid w:val="00286F50"/>
    <w:rsid w:val="002A2F23"/>
    <w:rsid w:val="002A7BB1"/>
    <w:rsid w:val="002D0E83"/>
    <w:rsid w:val="002F1D7B"/>
    <w:rsid w:val="00354253"/>
    <w:rsid w:val="003868B9"/>
    <w:rsid w:val="003D714C"/>
    <w:rsid w:val="0042394F"/>
    <w:rsid w:val="00477B96"/>
    <w:rsid w:val="004B0C28"/>
    <w:rsid w:val="004B562D"/>
    <w:rsid w:val="005829AC"/>
    <w:rsid w:val="005A3049"/>
    <w:rsid w:val="005B2A37"/>
    <w:rsid w:val="005F66DC"/>
    <w:rsid w:val="006330D1"/>
    <w:rsid w:val="006934AB"/>
    <w:rsid w:val="006B03E2"/>
    <w:rsid w:val="006E7820"/>
    <w:rsid w:val="007E40D6"/>
    <w:rsid w:val="00803D4E"/>
    <w:rsid w:val="00820DAA"/>
    <w:rsid w:val="0085256B"/>
    <w:rsid w:val="00864A71"/>
    <w:rsid w:val="008A1D63"/>
    <w:rsid w:val="008C69EB"/>
    <w:rsid w:val="008E06C8"/>
    <w:rsid w:val="009640D0"/>
    <w:rsid w:val="00976F4D"/>
    <w:rsid w:val="00A047E2"/>
    <w:rsid w:val="00AE58EA"/>
    <w:rsid w:val="00BF6F0C"/>
    <w:rsid w:val="00C1615D"/>
    <w:rsid w:val="00CF6DAB"/>
    <w:rsid w:val="00D25162"/>
    <w:rsid w:val="00D25F3E"/>
    <w:rsid w:val="00DB2164"/>
    <w:rsid w:val="00DD1A0F"/>
    <w:rsid w:val="00E26F95"/>
    <w:rsid w:val="00E339D3"/>
    <w:rsid w:val="00E53523"/>
    <w:rsid w:val="00E72FE4"/>
    <w:rsid w:val="00E95181"/>
    <w:rsid w:val="00EA1F48"/>
    <w:rsid w:val="00ED1BF0"/>
    <w:rsid w:val="00F87AC4"/>
    <w:rsid w:val="00FE5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64F7C"/>
  <w15:chartTrackingRefBased/>
  <w15:docId w15:val="{D2083353-1434-4A78-88EC-634C130CB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B56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B56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B56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B56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B56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B56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B56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B56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B56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B56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B56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B56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B562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B562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B56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B56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B56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B56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B56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B56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B56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B56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B56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B56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B562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B562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B56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B562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B56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63843-3E6F-4F02-84F9-A7F217D4F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665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Sowa</dc:creator>
  <cp:keywords/>
  <dc:description/>
  <cp:lastModifiedBy>Mateusz Sowa</cp:lastModifiedBy>
  <cp:revision>2</cp:revision>
  <dcterms:created xsi:type="dcterms:W3CDTF">2026-06-08T11:23:00Z</dcterms:created>
  <dcterms:modified xsi:type="dcterms:W3CDTF">2026-06-08T11:23:00Z</dcterms:modified>
</cp:coreProperties>
</file>